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Georgia" w:cs="Georgia" w:eastAsia="Georgia" w:hAnsi="Georgia"/>
          <w:b/>
          <w:bCs/>
          <w:color w:val="1F3A5F"/>
          <w:sz w:val="40"/>
          <w:szCs w:val="40"/>
        </w:rPr>
        <w:t xml:space="preserve">RECAST</w:t>
      </w:r>
    </w:p>
    <w:p>
      <w:pPr>
        <w:spacing w:after="160"/>
      </w:pPr>
      <w:r>
        <w:rPr>
          <w:rFonts w:ascii="Courier New" w:cs="Courier New" w:eastAsia="Courier New" w:hAnsi="Courier New"/>
          <w:b/>
          <w:bCs/>
          <w:color w:val="C0733A"/>
          <w:sz w:val="18"/>
          <w:szCs w:val="18"/>
        </w:rPr>
        <w:t xml:space="preserve">WHAT THIS MEANS FOR FOUNDERS AND INVESTORS  ·  ONE-PAGE EXECUTIVE SUMMARY</w:t>
      </w:r>
    </w:p>
    <w:p>
      <w:pPr>
        <w:pBdr>
          <w:bottom w:val="single" w:color="1F3A5F" w:sz="12" w:space="1"/>
        </w:pBdr>
        <w:spacing w:after="200"/>
      </w:pPr>
      <w:r>
        <w:t xml:space="preserve"/>
      </w:r>
    </w:p>
    <w:p>
      <w:pPr>
        <w:spacing w:after="160"/>
      </w:pPr>
      <w:r>
        <w:rPr>
          <w:rFonts w:ascii="Georgia" w:cs="Georgia" w:eastAsia="Georgia" w:hAnsi="Georgia"/>
          <w:b/>
          <w:bCs/>
          <w:sz w:val="22"/>
          <w:szCs w:val="22"/>
        </w:rPr>
        <w:t xml:space="preserve">The finding, plainly: </w:t>
      </w:r>
      <w:r>
        <w:rPr>
          <w:rFonts w:ascii="Georgia" w:cs="Georgia" w:eastAsia="Georgia" w:hAnsi="Georgia"/>
          <w:sz w:val="22"/>
          <w:szCs w:val="22"/>
        </w:rPr>
        <w:t xml:space="preserve">AI decision-support tools change a venture's outcomes by changing the founder's own judgment first, not the other way around. The research behind this report identifies two distinct ways that shift happens, and only one of them fades on its own.</w:t>
      </w:r>
    </w:p>
    <w:p>
      <w:pPr>
        <w:spacing w:after="160"/>
      </w:pPr>
      <w:r>
        <w:rPr>
          <w:rFonts w:ascii="Georgia" w:cs="Georgia" w:eastAsia="Georgia" w:hAnsi="Georgia"/>
          <w:b/>
          <w:bCs/>
          <w:sz w:val="22"/>
          <w:szCs w:val="22"/>
        </w:rPr>
        <w:t xml:space="preserve">Automation bias is episode-stable. </w:t>
      </w:r>
      <w:r>
        <w:rPr>
          <w:rFonts w:ascii="Georgia" w:cs="Georgia" w:eastAsia="Georgia" w:hAnsi="Georgia"/>
          <w:sz w:val="22"/>
          <w:szCs w:val="22"/>
        </w:rPr>
        <w:t xml:space="preserve">A founder accepts one flawed AI recommendation, that specific decision is affected, and then the effect stops there. The founder's underlying judgment does not move.</w:t>
      </w:r>
    </w:p>
    <w:p>
      <w:pPr>
        <w:spacing w:after="240"/>
      </w:pPr>
      <w:r>
        <w:rPr>
          <w:rFonts w:ascii="Georgia" w:cs="Georgia" w:eastAsia="Georgia" w:hAnsi="Georgia"/>
          <w:b/>
          <w:bCs/>
          <w:sz w:val="22"/>
          <w:szCs w:val="22"/>
        </w:rPr>
        <w:t xml:space="preserve">Algorithmic bias works differently. </w:t>
      </w:r>
      <w:r>
        <w:rPr>
          <w:rFonts w:ascii="Georgia" w:cs="Georgia" w:eastAsia="Georgia" w:hAnsi="Georgia"/>
          <w:sz w:val="22"/>
          <w:szCs w:val="22"/>
        </w:rPr>
        <w:t xml:space="preserve">It recalibrates the founder's cognitive template through repeated exposure: the baseline itself shifts, and later decisions are affected even without a fresh flawed recommendation triggering them. This is the harder failure mode to catch, because nothing has to visibly go wrong for it to be happening.</w:t>
      </w:r>
    </w:p>
    <w:p>
      <w:pPr>
        <w:pStyle w:val="Heading1"/>
        <w:spacing w:after="140" w:before="80"/>
      </w:pPr>
      <w:r>
        <w:rPr>
          <w:rFonts w:ascii="Georgia" w:cs="Georgia" w:eastAsia="Georgia" w:hAnsi="Georgia"/>
          <w:b/>
          <w:bCs/>
          <w:color w:val="1F3A5F"/>
          <w:sz w:val="26"/>
          <w:szCs w:val="26"/>
        </w:rPr>
        <w:t xml:space="preserve">What to Watch For</w:t>
      </w:r>
    </w:p>
    <w:p>
      <w:pPr>
        <w:pStyle w:val="ListParagraph"/>
        <w:numPr>
          <w:ilvl w:val="0"/>
          <w:numId w:val="2"/>
        </w:numPr>
        <w:spacing w:after="140"/>
      </w:pPr>
      <w:r>
        <w:rPr>
          <w:rFonts w:ascii="Georgia" w:cs="Georgia" w:eastAsia="Georgia" w:hAnsi="Georgia"/>
          <w:b/>
          <w:bCs/>
          <w:sz w:val="21"/>
          <w:szCs w:val="21"/>
        </w:rPr>
        <w:t xml:space="preserve">At launch, automation bias peaks: </w:t>
      </w:r>
      <w:r>
        <w:rPr>
          <w:rFonts w:ascii="Georgia" w:cs="Georgia" w:eastAsia="Georgia" w:hAnsi="Georgia"/>
          <w:sz w:val="21"/>
          <w:szCs w:val="21"/>
        </w:rPr>
        <w:t xml:space="preserve">cognitive load and execution speed are both at their highest, which is exactly when a founder is least likely to notice they've stopped questioning an AI recommendation.</w:t>
      </w:r>
    </w:p>
    <w:p>
      <w:pPr>
        <w:pStyle w:val="ListParagraph"/>
        <w:numPr>
          <w:ilvl w:val="0"/>
          <w:numId w:val="2"/>
        </w:numPr>
        <w:spacing w:after="140"/>
      </w:pPr>
      <w:r>
        <w:rPr>
          <w:rFonts w:ascii="Georgia" w:cs="Georgia" w:eastAsia="Georgia" w:hAnsi="Georgia"/>
          <w:b/>
          <w:bCs/>
          <w:sz w:val="21"/>
          <w:szCs w:val="21"/>
        </w:rPr>
        <w:t xml:space="preserve">Explanation timing matters. </w:t>
      </w:r>
      <w:r>
        <w:rPr>
          <w:rFonts w:ascii="Georgia" w:cs="Georgia" w:eastAsia="Georgia" w:hAnsi="Georgia"/>
          <w:sz w:val="21"/>
          <w:szCs w:val="21"/>
        </w:rPr>
        <w:t xml:space="preserve">A tool that shows its confidence score and limitations after the recommendation isn't protecting your judgment; it's reassuring you after the fact.</w:t>
      </w:r>
    </w:p>
    <w:p>
      <w:pPr>
        <w:pStyle w:val="ListParagraph"/>
        <w:numPr>
          <w:ilvl w:val="0"/>
          <w:numId w:val="2"/>
        </w:numPr>
        <w:spacing w:after="140"/>
      </w:pPr>
      <w:r>
        <w:rPr>
          <w:rFonts w:ascii="Georgia" w:cs="Georgia" w:eastAsia="Georgia" w:hAnsi="Georgia"/>
          <w:b/>
          <w:bCs/>
          <w:sz w:val="21"/>
          <w:szCs w:val="21"/>
        </w:rPr>
        <w:t xml:space="preserve">Watch for a number that never gets re-derived. </w:t>
      </w:r>
      <w:r>
        <w:rPr>
          <w:rFonts w:ascii="Georgia" w:cs="Georgia" w:eastAsia="Georgia" w:hAnsi="Georgia"/>
          <w:sz w:val="21"/>
          <w:szCs w:val="21"/>
        </w:rPr>
        <w:t xml:space="preserve">Once a founder's baseline drifts toward an AI's first answer, that answer quietly becomes the standard everyone measures against, even after the context that produced it has changed.</w:t>
      </w:r>
    </w:p>
    <w:p>
      <w:pPr>
        <w:pStyle w:val="ListParagraph"/>
        <w:numPr>
          <w:ilvl w:val="0"/>
          <w:numId w:val="2"/>
        </w:numPr>
        <w:spacing w:after="140"/>
      </w:pPr>
      <w:r>
        <w:rPr>
          <w:rFonts w:ascii="Georgia" w:cs="Georgia" w:eastAsia="Georgia" w:hAnsi="Georgia"/>
          <w:b/>
          <w:bCs/>
          <w:sz w:val="21"/>
          <w:szCs w:val="21"/>
        </w:rPr>
        <w:t xml:space="preserve">Metacognition is the single most actionable lever. </w:t>
      </w:r>
      <w:r>
        <w:rPr>
          <w:rFonts w:ascii="Georgia" w:cs="Georgia" w:eastAsia="Georgia" w:hAnsi="Georgia"/>
          <w:sz w:val="21"/>
          <w:szCs w:val="21"/>
        </w:rPr>
        <w:t xml:space="preserve">AI use helps people who actively question their own reasoning, and does not help, or actively hurts, everyone else; a habit any founder can build, not a tool setting someone else controls.</w:t>
      </w:r>
    </w:p>
    <w:p>
      <w:pPr>
        <w:pStyle w:val="ListParagraph"/>
        <w:numPr>
          <w:ilvl w:val="0"/>
          <w:numId w:val="2"/>
        </w:numPr>
        <w:spacing w:after="140"/>
      </w:pPr>
      <w:r>
        <w:rPr>
          <w:rFonts w:ascii="Georgia" w:cs="Georgia" w:eastAsia="Georgia" w:hAnsi="Georgia"/>
          <w:b/>
          <w:bCs/>
          <w:sz w:val="21"/>
          <w:szCs w:val="21"/>
        </w:rPr>
        <w:t xml:space="preserve">Uncritical trust under high uncertainty </w:t>
      </w:r>
      <w:r>
        <w:rPr>
          <w:rFonts w:ascii="Georgia" w:cs="Georgia" w:eastAsia="Georgia" w:hAnsi="Georgia"/>
          <w:sz w:val="21"/>
          <w:szCs w:val="21"/>
        </w:rPr>
        <w:t xml:space="preserve">produces scope creep dressed up as ambition. It is easy to mistake for momentum right up until it isn't.</w:t>
      </w:r>
    </w:p>
    <w:p>
      <w:pPr>
        <w:pStyle w:val="ListParagraph"/>
        <w:numPr>
          <w:ilvl w:val="0"/>
          <w:numId w:val="2"/>
        </w:numPr>
        <w:spacing w:after="140"/>
      </w:pPr>
      <w:r>
        <w:rPr>
          <w:rFonts w:ascii="Georgia" w:cs="Georgia" w:eastAsia="Georgia" w:hAnsi="Georgia"/>
          <w:b/>
          <w:bCs/>
          <w:sz w:val="21"/>
          <w:szCs w:val="21"/>
        </w:rPr>
        <w:t xml:space="preserve">Informal governance lets bias propagate unchecked. </w:t>
      </w:r>
      <w:r>
        <w:rPr>
          <w:rFonts w:ascii="Georgia" w:cs="Georgia" w:eastAsia="Georgia" w:hAnsi="Georgia"/>
          <w:sz w:val="21"/>
          <w:szCs w:val="21"/>
        </w:rPr>
        <w:t xml:space="preserve">The fix is not expensive; it is naming, in writing, who checks an AI-influenced call before it ships.</w:t>
      </w:r>
    </w:p>
    <w:p>
      <w:pPr>
        <w:pStyle w:val="Heading1"/>
        <w:spacing w:after="140" w:before="120"/>
      </w:pPr>
      <w:r>
        <w:rPr>
          <w:rFonts w:ascii="Georgia" w:cs="Georgia" w:eastAsia="Georgia" w:hAnsi="Georgia"/>
          <w:b/>
          <w:bCs/>
          <w:color w:val="1F3A5F"/>
          <w:sz w:val="26"/>
          <w:szCs w:val="26"/>
        </w:rPr>
        <w:t xml:space="preserve">Naming and Status</w:t>
      </w:r>
    </w:p>
    <w:p>
      <w:pPr>
        <w:spacing w:after="240"/>
      </w:pPr>
      <w:r>
        <w:rPr>
          <w:rFonts w:ascii="Georgia" w:cs="Georgia" w:eastAsia="Georgia" w:hAnsi="Georgia"/>
          <w:sz w:val="22"/>
          <w:szCs w:val="22"/>
        </w:rPr>
        <w:t xml:space="preserve">This report is presented publicly as RECAST (referred to in the underlying manuscript as AICE). A verification pass run before this report's release could not confirm, from publicly available sources, the manuscript's current submission status to the two peer-reviewed journals it has been submitted to; no public record confirms or denies that status as of the verification date.</w:t>
      </w:r>
    </w:p>
    <w:p>
      <w:pPr>
        <w:pBdr>
          <w:top w:val="single" w:color="CCCCCC" w:sz="4" w:space="6"/>
        </w:pBdr>
        <w:spacing w:after="120" w:before="100"/>
      </w:pPr>
      <w:r>
        <w:rPr>
          <w:rFonts w:ascii="Georgia" w:cs="Georgia" w:eastAsia="Georgia" w:hAnsi="Georgia"/>
          <w:i/>
          <w:iCs/>
          <w:color w:val="595959"/>
          <w:sz w:val="18"/>
          <w:szCs w:val="18"/>
        </w:rPr>
        <w:t xml:space="preserve">Findings are drawn from a solo-authored systematic literature review (337 candidate records screened to a final corpus of 32 studies, following PRISMA 2020 methodology), conducted under the academic guidance of Dr. Mohamed Watfa. Full report and citations available on request.</w:t>
      </w:r>
    </w:p>
    <w:p>
      <w:r>
        <w:rPr>
          <w:rFonts w:ascii="Courier New" w:cs="Courier New" w:eastAsia="Courier New" w:hAnsi="Courier New"/>
          <w:color w:val="595959"/>
          <w:sz w:val="18"/>
          <w:szCs w:val="18"/>
        </w:rPr>
        <w:t xml:space="preserve">Younes Nader  ·  Founder, Commercial and Financial Analyst, Independent Researcher  ·  Sharjah, UAE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316"/>
      </w:pPr>
      <w:rPr>
        <w:rFonts w:ascii="Arial" w:cs="Arial" w:eastAsia="Arial" w:hAnsi="Arial"/>
        <w:color w:val="C0733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2026-07-16T15:35:14.193Z</dcterms:created>
  <dcterms:modified xsi:type="dcterms:W3CDTF">2026-07-16T15:35:14.209Z</dcterms:modified>
</cp:coreProperties>
</file>

<file path=docProps/custom.xml><?xml version="1.0" encoding="utf-8"?>
<Properties xmlns="http://schemas.openxmlformats.org/officeDocument/2006/custom-properties" xmlns:vt="http://schemas.openxmlformats.org/officeDocument/2006/docPropsVTypes"/>
</file>